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B2D8B"/>
          <w:sz w:val="18"/>
        </w:rPr>
        <w:t>PARINGA  |  MARKET INTELLIGENCE  |  ATMOZ</w:t>
      </w:r>
    </w:p>
    <w:p>
      <w:pPr>
        <w:pStyle w:val="Heading1"/>
      </w:pPr>
      <w:r>
        <w:rPr>
          <w:rFonts w:ascii="Georgia" w:hAnsi="Georgia"/>
          <w:color w:val="7B2D8B"/>
          <w:sz w:val="40"/>
        </w:rPr>
        <w:t>When Credits Don't Cover the AI Bill</w:t>
      </w:r>
    </w:p>
    <w:p>
      <w:r>
        <w:rPr>
          <w:color w:val="666666"/>
          <w:sz w:val="20"/>
        </w:rPr>
        <w:t>Week of 12 October 2026  ·  Compiled by Team Paringa</w:t>
      </w:r>
    </w:p>
    <w:p>
      <w:r>
        <w:rPr>
          <w:b w:val="0"/>
          <w:i/>
        </w:rPr>
        <w:t>AI is now the line item that breaks cloud budgets, and the gap between what teams think is covered and what is actually billed is where the money disappears.</w:t>
      </w:r>
    </w:p>
    <w:p>
      <w:pPr>
        <w:pStyle w:val="Heading2"/>
      </w:pPr>
      <w:r>
        <w:rPr>
          <w:rFonts w:ascii="Georgia" w:hAnsi="Georgia"/>
          <w:color w:val="7B2D8B"/>
          <w:sz w:val="28"/>
        </w:rPr>
        <w:t>What Happened This Week</w:t>
      </w:r>
    </w:p>
    <w:p>
      <w:pPr>
        <w:pStyle w:val="Heading3"/>
      </w:pPr>
      <w:r>
        <w:rPr>
          <w:rFonts w:ascii="Georgia" w:hAnsi="Georgia"/>
          <w:color w:val="7B2D8B"/>
          <w:sz w:val="24"/>
        </w:rPr>
        <w:t>🔴 Vegalabs hit with a $17,600 Claude bill that Azure credits did not cover</w:t>
      </w:r>
    </w:p>
    <w:p>
      <w:r>
        <w:rPr>
          <w:b w:val="0"/>
          <w:i w:val="0"/>
        </w:rPr>
        <w:t>The Register reported on 9 October that Norwegian startup Vegalabs AS ran up roughly $17,600 using Anthropic's Claude through Microsoft Foundry, assuming its Azure credits would absorb it. The startup had received $25,060 in credits through Microsoft for Startups. But Microsoft's sponsorship rules exclude Anthropic models bought through Azure Marketplace, so the usage landed as separate Marketplace charges. Microsoft tried to charge $16,500 to the company's card, later invoiced $17,600 before tax, and $21,168 in unused credits expired on 8 September.</w:t>
      </w:r>
    </w:p>
    <w:p>
      <w:r>
        <w:rPr>
          <w:b w:val="0"/>
          <w:i w:val="0"/>
        </w:rPr>
        <w:t>The dispute then bounced between vendors. Microsoft said Marketplace transactions run through a separate billing pipeline, so Azure Support could not waive them, and referred the customer to Anthropic. Anthropic said Microsoft did not need its authorisation for a refund and sent the customer back. The card issuer declined the payment over suspected fraud. The Register noted a similar case in March.</w:t>
      </w:r>
    </w:p>
    <w:p>
      <w:r>
        <w:rPr>
          <w:b w:val="0"/>
          <w:i w:val="0"/>
        </w:rPr>
        <w:t>To be fair to the vendors, the customer admits it did not read the credit exclusions or set a budget alert, and it deleted the deployment within an hour of noticing. But the story is a clean example of the structural problem: one console, two billing systems, and a customer left holding the invoice when each vendor points at the other.</w:t>
      </w:r>
    </w:p>
    <w:p>
      <w:r>
        <w:rPr>
          <w:b/>
          <w:i w:val="0"/>
          <w:sz w:val="18"/>
        </w:rPr>
        <w:t>Sources:</w:t>
      </w:r>
      <w:r>
        <w:rPr>
          <w:b w:val="0"/>
          <w:i w:val="0"/>
          <w:sz w:val="18"/>
        </w:rPr>
        <w:t xml:space="preserve"> </w:t>
      </w:r>
      <w:hyperlink r:id="rId9">
        <w:r>
          <w:rPr>
            <w:color w:val="7B2D8B"/>
            <w:u w:val="single"/>
          </w:rPr>
          <w:t xml:space="preserve">The Register</w:t>
        </w:r>
      </w:hyperlink>
    </w:p>
    <w:p>
      <w:pPr>
        <w:ind w:left="340"/>
        <w:pBdr>
          <w:left w:val="single" w:sz="24" w:space="8" w:color="7B2D8B"/>
        </w:pBdr>
        <w:shd w:val="clear" w:fill="F3EAF6"/>
      </w:pPr>
      <w:r>
        <w:rPr>
          <w:b w:val="0"/>
          <w:i/>
        </w:rPr>
        <w:t>If your teams consume third-party models through a hyperscaler marketplace, find out this week which of those charges sit outside your commitments and credits. Set budget alerts per subscription and per marketplace product, not just per cloud account. Make marketplace AI spend its own line in your showback so it cannot hide inside a general cloud bill. This is a ten-minute control that prevents a very awkward finance conversation.</w:t>
      </w:r>
    </w:p>
    <w:p>
      <w:pPr>
        <w:pStyle w:val="Heading3"/>
      </w:pPr>
      <w:r>
        <w:rPr>
          <w:rFonts w:ascii="Georgia" w:hAnsi="Georgia"/>
          <w:color w:val="7B2D8B"/>
          <w:sz w:val="24"/>
        </w:rPr>
        <w:t>🟡 Microsoft pitches cheap "decision models" as the answer to AI cost</w:t>
      </w:r>
    </w:p>
    <w:p>
      <w:r>
        <w:rPr>
          <w:b w:val="0"/>
          <w:i w:val="0"/>
        </w:rPr>
        <w:t>On 10 October The Register covered Microsoft-Decision-1, a small model built on Alibaba's open-weight Qwen3.5-9B and available through Microsoft Foundry. Input tokens are priced at $0.042 per million with free output tokens, and Microsoft claims it is more than 20x cheaper than OpenAI's GPT-6 Sol on text classification. Those figures are Microsoft's own and unverified. The article counts more than 100 such models, with OpenAI, Cloudflare, Perplexity and Snowflake in the field.</w:t>
      </w:r>
    </w:p>
    <w:p>
      <w:r>
        <w:rPr>
          <w:b w:val="0"/>
          <w:i w:val="0"/>
        </w:rPr>
        <w:t>The cost argument is the useful part. Many agent workflows spend frontier-model money on classification and routing tasks that a small model handles. Matching the model to the job is one of the largest levers in AI unit economics.</w:t>
      </w:r>
    </w:p>
    <w:p>
      <w:r>
        <w:rPr>
          <w:b/>
          <w:i w:val="0"/>
          <w:sz w:val="18"/>
        </w:rPr>
        <w:t>Sources:</w:t>
      </w:r>
      <w:r>
        <w:rPr>
          <w:b w:val="0"/>
          <w:i w:val="0"/>
          <w:sz w:val="18"/>
        </w:rPr>
        <w:t xml:space="preserve"> </w:t>
      </w:r>
      <w:hyperlink r:id="rId10">
        <w:r>
          <w:rPr>
            <w:color w:val="7B2D8B"/>
            <w:u w:val="single"/>
          </w:rPr>
          <w:t xml:space="preserve">The Register</w:t>
        </w:r>
      </w:hyperlink>
    </w:p>
    <w:p>
      <w:pPr>
        <w:ind w:left="340"/>
        <w:pBdr>
          <w:left w:val="single" w:sz="24" w:space="8" w:color="7B2D8B"/>
        </w:pBdr>
        <w:shd w:val="clear" w:fill="F3EAF6"/>
      </w:pPr>
      <w:r>
        <w:rPr>
          <w:b w:val="0"/>
          <w:i/>
        </w:rPr>
        <w:t>Audit your highest-volume AI calls and ask what share are classification, extraction or routing. Those are candidates for small models, with accuracy tested on your own data before you switch. Track cost per outcome, not cost per token, so the saving is real and not just a cheaper meter.</w:t>
      </w:r>
    </w:p>
    <w:p>
      <w:pPr>
        <w:pStyle w:val="Heading2"/>
      </w:pPr>
      <w:r>
        <w:rPr>
          <w:rFonts w:ascii="Georgia" w:hAnsi="Georgia"/>
          <w:color w:val="7B2D8B"/>
          <w:sz w:val="28"/>
        </w:rPr>
        <w:t>What Cloud and FinOps Leaders Are Dealing With</w:t>
      </w:r>
    </w:p>
    <w:p>
      <w:r>
        <w:rPr>
          <w:b w:val="0"/>
          <w:i w:val="0"/>
        </w:rPr>
        <w:t>Waste is rising again. Flexera's 2026 State of the Cloud report put estimated wasted cloud spend at 29%, the first increase in five years, driven by AI workloads and harder forecasting. Over half of respondents still rely on on-demand pricing. The FinOps Foundation's State of FinOps 2026 found 98% of practitioners now manage AI spend, up from 31% in 2024, and 58% named AI cost management as the most desired skill.</w:t>
      </w:r>
    </w:p>
    <w:p>
      <w:r>
        <w:rPr>
          <w:b w:val="0"/>
          <w:i w:val="0"/>
        </w:rPr>
        <w:t>The pattern is that governance is catching up on cloud but not on AI. Token-level visibility, marketplace billing and per-team allowances are still immature in most organisations.</w:t>
      </w:r>
    </w:p>
    <w:p>
      <w:pPr>
        <w:pStyle w:val="Heading2"/>
      </w:pPr>
      <w:r>
        <w:rPr>
          <w:rFonts w:ascii="Georgia" w:hAnsi="Georgia"/>
          <w:color w:val="7B2D8B"/>
          <w:sz w:val="28"/>
        </w:rPr>
        <w:t>Three Things Worth Watching Next Week</w:t>
      </w:r>
    </w:p>
    <w:p>
      <w:r>
        <w:rPr>
          <w:b/>
          <w:i w:val="0"/>
        </w:rPr>
        <w:t>1. Vegalabs follow-up</w:t>
      </w:r>
      <w:r>
        <w:rPr>
          <w:b w:val="0"/>
          <w:i w:val="0"/>
        </w:rPr>
        <w:t xml:space="preserve"> — Watch whether Microsoft or Anthropic offers a goodwill resolution, and whether Microsoft clarifies marketplace credit exclusions in Foundry.</w:t>
      </w:r>
    </w:p>
    <w:p>
      <w:r>
        <w:rPr>
          <w:b/>
          <w:i w:val="0"/>
        </w:rPr>
        <w:t>2. Decision model benchmarks</w:t>
      </w:r>
      <w:r>
        <w:rPr>
          <w:b w:val="0"/>
          <w:i w:val="0"/>
        </w:rPr>
        <w:t xml:space="preserve"> — Independent tests of Microsoft-Decision-1 against its cost and accuracy claims will show whether the savings hold.</w:t>
      </w:r>
    </w:p>
    <w:p>
      <w:r>
        <w:rPr>
          <w:b/>
          <w:i w:val="0"/>
        </w:rPr>
        <w:t>3. Q3 cloud earnings run-up</w:t>
      </w:r>
      <w:r>
        <w:rPr>
          <w:b w:val="0"/>
          <w:i w:val="0"/>
        </w:rPr>
        <w:t xml:space="preserve"> — Hyperscaler results will update the capex and AI pricing picture that feeds into your next renewal.</w:t>
      </w:r>
    </w:p>
    <w:p>
      <w:r>
        <w:rPr>
          <w:b w:val="0"/>
          <w:i/>
        </w:rPr>
        <w:t>Questions? hello@paringa.ai</w:t>
      </w:r>
    </w:p>
    <w:p>
      <w:r>
        <w:rPr>
          <w:b w:val="0"/>
          <w:i/>
        </w:rPr>
        <w:t>Paringa helps organisations get control of cloud and AI spend with practical FinOps, using Atmoz tooling to make cost visible down to the team and model. We aim to cut waste without slowing delivery. | 12 October 2026 | © Paringa Ltd</w:t>
      </w:r>
    </w:p>
    <w:sectPr w:rsidR="00FC693F" w:rsidRPr="0006063C" w:rsidSect="00034616">
      <w:footerReference w:type="default" r:id="rId11"/>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Paringa Ltd | hello@paringa.ai | paringa.ai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eastAsia="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heregister.com/a/5302041" TargetMode="External"/><Relationship Id="rId10" Type="http://schemas.openxmlformats.org/officeDocument/2006/relationships/hyperlink" Target="https://theregister.com/ai-and-ml/2026/10/10/microsoft-leans-on-open-weight-model-from-chinese-ai-lab-to-challenge-jev/5302473"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