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7B2D8B"/>
          <w:sz w:val="18"/>
        </w:rPr>
        <w:t>PARINGA  |  MARKET INTELLIGENCE  |  CNS</w:t>
      </w:r>
    </w:p>
    <w:p>
      <w:pPr>
        <w:pStyle w:val="Heading1"/>
      </w:pPr>
      <w:r>
        <w:rPr>
          <w:rFonts w:ascii="Georgia" w:hAnsi="Georgia"/>
          <w:color w:val="7B2D8B"/>
          <w:sz w:val="40"/>
        </w:rPr>
        <w:t>From Response to Prevention: The UAE Doubles Down on Sovereign Cyber Defence</w:t>
      </w:r>
    </w:p>
    <w:p>
      <w:r>
        <w:rPr>
          <w:color w:val="666666"/>
          <w:sz w:val="20"/>
        </w:rPr>
        <w:t>Week of 12 October 2026  ·  Compiled by Team Paringa</w:t>
      </w:r>
    </w:p>
    <w:p>
      <w:r>
        <w:rPr>
          <w:b w:val="0"/>
          <w:i/>
        </w:rPr>
        <w:t>The UAE is publicly reframing cyber defence around anticipation and homegrown capability while threat volumes stay elevated. This brief covers what that means for GCC security buyers and service providers.</w:t>
      </w:r>
    </w:p>
    <w:p>
      <w:pPr>
        <w:pStyle w:val="Heading2"/>
      </w:pPr>
      <w:r>
        <w:rPr>
          <w:rFonts w:ascii="Georgia" w:hAnsi="Georgia"/>
          <w:color w:val="7B2D8B"/>
          <w:sz w:val="28"/>
        </w:rPr>
        <w:t>What Happened This Week</w:t>
      </w:r>
    </w:p>
    <w:p>
      <w:pPr>
        <w:pStyle w:val="Heading3"/>
      </w:pPr>
      <w:r>
        <w:rPr>
          <w:rFonts w:ascii="Georgia" w:hAnsi="Georgia"/>
          <w:color w:val="7B2D8B"/>
          <w:sz w:val="24"/>
        </w:rPr>
        <w:t>🔴 UAE pivots national cyber posture to prevention and sovereign capability</w:t>
      </w:r>
    </w:p>
    <w:p>
      <w:r>
        <w:rPr>
          <w:b w:val="0"/>
          <w:i w:val="0"/>
        </w:rPr>
        <w:t>On 10 October, Gulf News and Gulf Today (citing WAM) published an overview of the UAE's cyber direction. The line that matters: the emphasis has shifted towards anticipating and preventing threats rather than responding after incidents occur. The coverage rests on figures the UAE Cyber Security Council gave in May, of more than 800,000 attacks a day in recent months, and on the Microsoft Digital Defence Report 2026, which ranks the UAE sixth globally and second in the Middle East and Africa for customer exposure to cyber activity in the first half of 2026.</w:t>
      </w:r>
    </w:p>
    <w:p>
      <w:r>
        <w:rPr>
          <w:b w:val="0"/>
          <w:i w:val="0"/>
        </w:rPr>
        <w:t>The capability build-out is concrete. The Council and CPX Holding launched the UAE Cyber Factory in May to develop AI-powered detection and response tools locally. A Dell-partnered centre of excellence in Abu Dhabi, announced at Make it in the Emirates 2026, will use AI, IoT and cloud for real-time threat detection. In September a UAE-developed cybersecurity AI model was launched with Open Innovation AI, and the Council unveiled a V7 model for detecting malicious files at GISEC Global 2026.</w:t>
      </w:r>
    </w:p>
    <w:p>
      <w:r>
        <w:rPr>
          <w:b w:val="0"/>
          <w:i w:val="0"/>
        </w:rPr>
        <w:t>Financial services is explicitly in scope. On 3 July the Council said its national framework countered sophisticated attacks on several financial entities. Talent is the other lever: Dubai Electronic Security Centre launched the Dubai Cyber Skills Framework in September (nine career pathways, 50+ job roles, 40 skills), and Sharjah's Cybersecurity Strategy 2026 to 2031 takes a risk-preparedness approach.</w:t>
      </w:r>
    </w:p>
    <w:p>
      <w:r>
        <w:rPr>
          <w:b/>
          <w:i w:val="0"/>
          <w:sz w:val="18"/>
        </w:rPr>
        <w:t>Sources:</w:t>
      </w:r>
      <w:r>
        <w:rPr>
          <w:b w:val="0"/>
          <w:i w:val="0"/>
          <w:sz w:val="18"/>
        </w:rPr>
        <w:t xml:space="preserve"> </w:t>
      </w:r>
      <w:hyperlink r:id="rId9">
        <w:r>
          <w:rPr>
            <w:color w:val="7B2D8B"/>
            <w:u w:val="single"/>
          </w:rPr>
          <w:t xml:space="preserve">Gulf News</w:t>
        </w:r>
      </w:hyperlink>
      <w:r>
        <w:rPr>
          <w:b w:val="0"/>
          <w:i w:val="0"/>
          <w:sz w:val="18"/>
        </w:rPr>
        <w:t xml:space="preserve"> | </w:t>
      </w:r>
      <w:hyperlink r:id="rId10">
        <w:r>
          <w:rPr>
            <w:color w:val="7B2D8B"/>
            <w:u w:val="single"/>
          </w:rPr>
          <w:t xml:space="preserve">Gulf Today</w:t>
        </w:r>
      </w:hyperlink>
    </w:p>
    <w:p>
      <w:pPr>
        <w:ind w:left="340"/>
        <w:pBdr>
          <w:left w:val="single" w:sz="24" w:space="8" w:color="7B2D8B"/>
        </w:pBdr>
        <w:shd w:val="clear" w:fill="F3EAF6"/>
      </w:pPr>
      <w:r>
        <w:rPr>
          <w:b w:val="0"/>
          <w:i/>
        </w:rPr>
        <w:t>Sovereign tooling is becoming a buying criterion, not a footnote. If you sell security services in the UAE, be ready to explain how your stack complements national capabilities rather than competes with them, and where data and analytics sit. Prevention framing also favours exposure management, identity security and threat-informed testing over pure alert monitoring. Lead with outcomes in those areas.</w:t>
      </w:r>
    </w:p>
    <w:p>
      <w:pPr>
        <w:pStyle w:val="Heading3"/>
      </w:pPr>
      <w:r>
        <w:rPr>
          <w:rFonts w:ascii="Georgia" w:hAnsi="Georgia"/>
          <w:color w:val="7B2D8B"/>
          <w:sz w:val="24"/>
        </w:rPr>
        <w:t>🟡 Officials warn: high alert continues, compliance is not security</w:t>
      </w:r>
    </w:p>
    <w:p>
      <w:r>
        <w:rPr>
          <w:b w:val="0"/>
          <w:i w:val="0"/>
        </w:rPr>
        <w:t>The National reported on 22 September that UAE officials urged organisations to stay vigilant. About 640,000 attacks hit the UAE in a single day the previous week, against a peak of roughly 800,000 in April. Dr Mohamed Al Kuwaiti, head of the UAE Cyber Security Council, said Iran is among the main players behind attacks and that the IRGC is behind many of them. Government is the most targeted sector, followed by industrial firms, with critical infrastructure such as energy, aviation and water a major target. National teams contained organised attacks on aviation, energy and education systems in August.</w:t>
      </w:r>
    </w:p>
    <w:p>
      <w:r>
        <w:rPr>
          <w:b w:val="0"/>
          <w:i w:val="0"/>
        </w:rPr>
        <w:t>Practitioners quoted in the piece were blunt. SANS-certified instructor Jan D'Herdt warned that compliance alone does not equal security, and Paramount Assure's Pradeep Menon cautioned that quiet periods are a risk because attacks can lie dormant before activation. Dr Al Kuwaiti also noted that more than 85% of threats begin with an ordinary user's mistaken click.</w:t>
      </w:r>
    </w:p>
    <w:p>
      <w:r>
        <w:rPr>
          <w:b/>
          <w:i w:val="0"/>
          <w:sz w:val="18"/>
        </w:rPr>
        <w:t>Sources:</w:t>
      </w:r>
      <w:r>
        <w:rPr>
          <w:b w:val="0"/>
          <w:i w:val="0"/>
          <w:sz w:val="18"/>
        </w:rPr>
        <w:t xml:space="preserve"> </w:t>
      </w:r>
      <w:hyperlink r:id="rId11">
        <w:r>
          <w:rPr>
            <w:color w:val="7B2D8B"/>
            <w:u w:val="single"/>
          </w:rPr>
          <w:t xml:space="preserve">The National</w:t>
        </w:r>
      </w:hyperlink>
    </w:p>
    <w:p>
      <w:pPr>
        <w:ind w:left="340"/>
        <w:pBdr>
          <w:left w:val="single" w:sz="24" w:space="8" w:color="7B2D8B"/>
        </w:pBdr>
        <w:shd w:val="clear" w:fill="F3EAF6"/>
      </w:pPr>
      <w:r>
        <w:rPr>
          <w:b w:val="0"/>
          <w:i/>
        </w:rPr>
        <w:t>This is a few weeks old but it sets the tone for current conversations. Operators in energy, aviation and water should be testing detection and recovery now, not auditing paperwork. The user-click statistic is a reminder that awareness and identity controls remain the cheapest risk reduction you can fund.</w:t>
      </w:r>
    </w:p>
    <w:p>
      <w:pPr>
        <w:pStyle w:val="Heading2"/>
      </w:pPr>
      <w:r>
        <w:rPr>
          <w:rFonts w:ascii="Georgia" w:hAnsi="Georgia"/>
          <w:color w:val="7B2D8B"/>
          <w:sz w:val="28"/>
        </w:rPr>
        <w:t>What GCC Security Leaders Are Dealing With</w:t>
      </w:r>
    </w:p>
    <w:p>
      <w:r>
        <w:rPr>
          <w:b w:val="0"/>
          <w:i w:val="0"/>
        </w:rPr>
        <w:t>Security teams are running at wartime tempo with peacetime budgets. Attack volumes are high, the threat is state-linked, and critical infrastructure operators are under the most pressure. At the same time, national bodies are building their own AI tooling, which changes how private vendors position.</w:t>
      </w:r>
    </w:p>
    <w:p>
      <w:r>
        <w:rPr>
          <w:b w:val="0"/>
          <w:i w:val="0"/>
        </w:rPr>
        <w:t>On Saudi Arabia, we did not find a verifiable new NCA announcement dated this week, so we are not reporting one. NCA frameworks remain the compliance baseline for Saudi operators.</w:t>
      </w:r>
    </w:p>
    <w:p>
      <w:pPr>
        <w:pStyle w:val="Heading2"/>
      </w:pPr>
      <w:r>
        <w:rPr>
          <w:rFonts w:ascii="Georgia" w:hAnsi="Georgia"/>
          <w:color w:val="7B2D8B"/>
          <w:sz w:val="28"/>
        </w:rPr>
        <w:t>Three Things Worth Watching Next Week</w:t>
      </w:r>
    </w:p>
    <w:p>
      <w:r>
        <w:rPr>
          <w:b/>
          <w:i w:val="0"/>
        </w:rPr>
        <w:t>1. Further Council partnerships</w:t>
      </w:r>
      <w:r>
        <w:rPr>
          <w:b w:val="0"/>
          <w:i w:val="0"/>
        </w:rPr>
        <w:t xml:space="preserve"> — The Council has been signing technology partners at pace (Cyble, Dell, CPX). Expect more announcements around events and quarter-end.</w:t>
      </w:r>
    </w:p>
    <w:p>
      <w:r>
        <w:rPr>
          <w:b/>
          <w:i w:val="0"/>
        </w:rPr>
        <w:t>2. Financial sector follow-up</w:t>
      </w:r>
      <w:r>
        <w:rPr>
          <w:b w:val="0"/>
          <w:i w:val="0"/>
        </w:rPr>
        <w:t xml:space="preserve"> — After the July statement on attacks against financial entities, watch for sector guidance or exercises.</w:t>
      </w:r>
    </w:p>
    <w:p>
      <w:r>
        <w:rPr>
          <w:b/>
          <w:i w:val="0"/>
        </w:rPr>
        <w:t>3. Saudi NCA activity</w:t>
      </w:r>
      <w:r>
        <w:rPr>
          <w:b w:val="0"/>
          <w:i w:val="0"/>
        </w:rPr>
        <w:t xml:space="preserve"> — No verified item this week. Watch the NCA site for framework updates that affect private-sector compliance.</w:t>
      </w:r>
    </w:p>
    <w:p>
      <w:r>
        <w:rPr>
          <w:b w:val="0"/>
          <w:i/>
        </w:rPr>
        <w:t>Questions? hello@paringa.ai</w:t>
      </w:r>
    </w:p>
    <w:p>
      <w:r>
        <w:rPr>
          <w:b w:val="0"/>
          <w:i/>
        </w:rPr>
        <w:t>Paringa works with Ghobash Group's CNS to help GCC organisations turn threat intelligence into practical, tested defence. We focus on outcomes buyers can measure rather than tool lists. | 12 October 2026 | © Paringa Ltd</w:t>
      </w:r>
    </w:p>
    <w:sectPr w:rsidR="00FC693F" w:rsidRPr="0006063C" w:rsidSect="00034616">
      <w:footerReference w:type="default" r:id="rId12"/>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 Paringa Ltd | hello@paringa.ai | paringa.ai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eastAsia="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ulfnews.com/uae/government/uae-faces-over-800000-cyberattacks-daily-how-the-country-is-fighting-back-1.500705531" TargetMode="External"/><Relationship Id="rId10" Type="http://schemas.openxmlformats.org/officeDocument/2006/relationships/hyperlink" Target="https://www.gulftoday.ae/news/2026/10/10/uae-advances-proactive-cyber-defences-homegrown-national-capabilities-report" TargetMode="External"/><Relationship Id="rId11" Type="http://schemas.openxmlformats.org/officeDocument/2006/relationships/hyperlink" Target="https://www.thenationalnews.com/news/uae/2026/09/22/uae-companies-urged-to-remain-vigilant-on-cyber-attacks/"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