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B2D8B"/>
          <w:sz w:val="18"/>
        </w:rPr>
        <w:t>PARINGA  |  MARKET INTELLIGENCE  |  DATABORN</w:t>
      </w:r>
    </w:p>
    <w:p>
      <w:pPr>
        <w:pStyle w:val="Heading1"/>
      </w:pPr>
      <w:r>
        <w:rPr>
          <w:rFonts w:ascii="Georgia" w:hAnsi="Georgia"/>
          <w:color w:val="7B2D8B"/>
          <w:sz w:val="40"/>
        </w:rPr>
        <w:t>The Grace Period Is Over: UAE Financial AI Governance Enters Enforcement</w:t>
      </w:r>
    </w:p>
    <w:p>
      <w:r>
        <w:rPr>
          <w:color w:val="666666"/>
          <w:sz w:val="20"/>
        </w:rPr>
        <w:t>Week of 12 October 2026  ·  Compiled by Team Paringa</w:t>
      </w:r>
    </w:p>
    <w:p>
      <w:r>
        <w:rPr>
          <w:b w:val="0"/>
          <w:i/>
        </w:rPr>
        <w:t>Four weeks after the CBUAE regularisation deadline, UAE financial institutions and their technology suppliers are operating under full enforcement. This brief covers what that means for AI governance, data protection and vendor risk.</w:t>
      </w:r>
    </w:p>
    <w:p>
      <w:pPr>
        <w:pStyle w:val="Heading2"/>
      </w:pPr>
      <w:r>
        <w:rPr>
          <w:rFonts w:ascii="Georgia" w:hAnsi="Georgia"/>
          <w:color w:val="7B2D8B"/>
          <w:sz w:val="28"/>
        </w:rPr>
        <w:t>What Happened This Week</w:t>
      </w:r>
    </w:p>
    <w:p>
      <w:pPr>
        <w:pStyle w:val="Heading3"/>
      </w:pPr>
      <w:r>
        <w:rPr>
          <w:rFonts w:ascii="Georgia" w:hAnsi="Georgia"/>
          <w:color w:val="7B2D8B"/>
          <w:sz w:val="24"/>
        </w:rPr>
        <w:t>🔴 CBUAE transition period has ended with no blanket extension</w:t>
      </w:r>
    </w:p>
    <w:p>
      <w:r>
        <w:rPr>
          <w:b w:val="0"/>
          <w:i w:val="0"/>
        </w:rPr>
        <w:t>The one-year transition under Federal Decree-Law No. 6 of 2025 (the New CBUAE Law) closed on 16 September 2026. A September 2026 UAE legal newsletter from CMI &amp; Co states that no blanket extension was granted and that enforcement against non-compliant entities began immediately. The week's practical question for most boards is no longer "what is the deadline" but "what can we evidence today".</w:t>
      </w:r>
    </w:p>
    <w:p>
      <w:r>
        <w:rPr>
          <w:b w:val="0"/>
          <w:i w:val="0"/>
        </w:rPr>
        <w:t>The penalty scale is the commercial story. Maximum administrative fines rose from AED 200 million to AED 1 billion, fines for Authorised Individuals rose from AED 2 million to AED 5 million, and a minimum AED 1 million fine applies to unauthorised licensed financial activity. The CBUAE can publish enforcement decisions naming institutions and individuals, and can debit fines directly from accounts held at licensed institutions. Reputational exposure now sits alongside the financial exposure.</w:t>
      </w:r>
    </w:p>
    <w:p>
      <w:r>
        <w:rPr>
          <w:b w:val="0"/>
          <w:i w:val="0"/>
        </w:rPr>
        <w:t>Scope has widened too. Article 62's technology-neutral licensing reaches fintechs, API providers, payment infrastructure operators, open finance providers and decentralised platforms. Pinsent Masons noted in April that a CBUAE FAQ says a technology provider serving only a licensed institution is not itself carrying out a licensed activity unless it engages in, or presents itself as engaging in, one. The FAQ is not legally binding, so suppliers without a licence are being advised to hold a documented CBUAE opinion confirming they are out of scope.</w:t>
      </w:r>
    </w:p>
    <w:p>
      <w:r>
        <w:rPr>
          <w:b w:val="0"/>
          <w:i w:val="0"/>
        </w:rPr>
        <w:t>The AI layer sits on top. The CBUAE's February 2026 Guidance Note on Consumer Protection and Responsible Adoption of AI and Machine Learning is not legally binding, but commentators expect it to shape supervisory dialogue, alongside the 2022 Model Management Standards and the UAE PDPL for personal data flows.</w:t>
      </w:r>
    </w:p>
    <w:p>
      <w:r>
        <w:rPr>
          <w:b/>
          <w:i w:val="0"/>
          <w:sz w:val="18"/>
        </w:rPr>
        <w:t>Sources:</w:t>
      </w:r>
      <w:r>
        <w:rPr>
          <w:b w:val="0"/>
          <w:i w:val="0"/>
          <w:sz w:val="18"/>
        </w:rPr>
        <w:t xml:space="preserve"> </w:t>
      </w:r>
      <w:hyperlink r:id="rId9">
        <w:r>
          <w:rPr>
            <w:color w:val="7B2D8B"/>
            <w:u w:val="single"/>
          </w:rPr>
          <w:t xml:space="preserve">CMI &amp; Co, UAE Newsletter September 2026</w:t>
        </w:r>
      </w:hyperlink>
      <w:r>
        <w:rPr>
          <w:b w:val="0"/>
          <w:i w:val="0"/>
          <w:sz w:val="18"/>
        </w:rPr>
        <w:t xml:space="preserve"> | </w:t>
      </w:r>
      <w:hyperlink r:id="rId10">
        <w:r>
          <w:rPr>
            <w:color w:val="7B2D8B"/>
            <w:u w:val="single"/>
          </w:rPr>
          <w:t xml:space="preserve">Pinsent Masons</w:t>
        </w:r>
      </w:hyperlink>
      <w:r>
        <w:rPr>
          <w:b w:val="0"/>
          <w:i w:val="0"/>
          <w:sz w:val="18"/>
        </w:rPr>
        <w:t xml:space="preserve"> | </w:t>
      </w:r>
      <w:hyperlink r:id="rId11">
        <w:r>
          <w:rPr>
            <w:color w:val="7B2D8B"/>
            <w:u w:val="single"/>
          </w:rPr>
          <w:t xml:space="preserve">Kiteworks</w:t>
        </w:r>
      </w:hyperlink>
    </w:p>
    <w:p>
      <w:pPr>
        <w:ind w:left="340"/>
        <w:pBdr>
          <w:left w:val="single" w:sz="24" w:space="8" w:color="7B2D8B"/>
        </w:pBdr>
        <w:shd w:val="clear" w:fill="F3EAF6"/>
      </w:pPr>
      <w:r>
        <w:rPr>
          <w:b w:val="0"/>
          <w:i/>
        </w:rPr>
        <w:t>The deadline passing is not the risk. The risk is an examiner asking for your AI model inventory, decision logs and vendor register in the same week. Treat the CBUAE guidance note as the de facto exam script even though it is non-binding. Build the evidence pack now: model inventory, owner per model, human-oversight points and audit trails. If you sell into UAE banks, get your licensing position in writing before your customer asks.</w:t>
      </w:r>
    </w:p>
    <w:p>
      <w:pPr>
        <w:pStyle w:val="Heading3"/>
      </w:pPr>
      <w:r>
        <w:rPr>
          <w:rFonts w:ascii="Georgia" w:hAnsi="Georgia"/>
          <w:color w:val="7B2D8B"/>
          <w:sz w:val="24"/>
        </w:rPr>
        <w:t>🟡 Vendor and data sovereignty exposure is the soft underbelly</w:t>
      </w:r>
    </w:p>
    <w:p>
      <w:r>
        <w:rPr>
          <w:b w:val="0"/>
          <w:i w:val="0"/>
        </w:rPr>
        <w:t>Kiteworks' regional survey data, which is vendor-sourced and should be read as such, reports that 44% of Middle East respondents had a sovereignty-related incident in the past 12 months, and that 42 to 45% of UAE and Saudi respondents name third-party AI vendor handling as their top sovereignty concern. The most common incident types were regulatory investigations or audits (22%), sovereignty-related breaches (20%) and third-party compliance failures (19%).</w:t>
      </w:r>
    </w:p>
    <w:p>
      <w:r>
        <w:rPr>
          <w:b w:val="0"/>
          <w:i w:val="0"/>
        </w:rPr>
        <w:t>The same research points to control gaps that matter for AI agents: 63% cannot enforce purpose limits on AI agents, 60% cannot quickly terminate a misbehaving agent, and 61% have fragmented logs. Those figures are global financial-services numbers, not UAE-only, so use them directionally. The article estimates 60 to 90 days to renegotiate vendor terms, which is a realistic planning assumption for contract-heavy banks.</w:t>
      </w:r>
    </w:p>
    <w:p>
      <w:r>
        <w:rPr>
          <w:b/>
          <w:i w:val="0"/>
          <w:sz w:val="18"/>
        </w:rPr>
        <w:t>Sources:</w:t>
      </w:r>
      <w:r>
        <w:rPr>
          <w:b w:val="0"/>
          <w:i w:val="0"/>
          <w:sz w:val="18"/>
        </w:rPr>
        <w:t xml:space="preserve"> </w:t>
      </w:r>
      <w:hyperlink r:id="rId11">
        <w:r>
          <w:rPr>
            <w:color w:val="7B2D8B"/>
            <w:u w:val="single"/>
          </w:rPr>
          <w:t xml:space="preserve">Kiteworks</w:t>
        </w:r>
      </w:hyperlink>
    </w:p>
    <w:p>
      <w:pPr>
        <w:ind w:left="340"/>
        <w:pBdr>
          <w:left w:val="single" w:sz="24" w:space="8" w:color="7B2D8B"/>
        </w:pBdr>
        <w:shd w:val="clear" w:fill="F3EAF6"/>
      </w:pPr>
      <w:r>
        <w:rPr>
          <w:b w:val="0"/>
          <w:i/>
        </w:rPr>
        <w:t>Vendor-sourced stats, so quote them carefully, but the pattern matches what we see: AI governance fails at the supplier boundary. Add AI-specific clauses to renewals now (data residency, logging, termination of agent access) rather than waiting for the next audit cycle. ISO/IEC 42001 certification is a credible way to demonstrate a management system to both regulators and customers.</w:t>
      </w:r>
    </w:p>
    <w:p>
      <w:pPr>
        <w:pStyle w:val="Heading2"/>
      </w:pPr>
      <w:r>
        <w:rPr>
          <w:rFonts w:ascii="Georgia" w:hAnsi="Georgia"/>
          <w:color w:val="7B2D8B"/>
          <w:sz w:val="28"/>
        </w:rPr>
        <w:t>What UAE and KSA Compliance Leaders Are Dealing With</w:t>
      </w:r>
    </w:p>
    <w:p>
      <w:r>
        <w:rPr>
          <w:b w:val="0"/>
          <w:i w:val="0"/>
        </w:rPr>
        <w:t>Most compliance teams are juggling three clocks: CBUAE enforcement in the UAE, PDPL obligations in both the UAE and Saudi Arabia, and board questions on AI. The common thread is evidence. Policies exist, but model inventories, vendor registers and audit-quality logs are patchy, and boards are asking for assurance faster than teams can produce it.</w:t>
      </w:r>
    </w:p>
    <w:p>
      <w:r>
        <w:rPr>
          <w:b w:val="0"/>
          <w:i w:val="0"/>
        </w:rPr>
        <w:t>For Saudi operators, SDAIA's PDPL enforcement and its AI governance work continue in parallel. We found commentary in this period but nothing dated this week that we could verify, so we are not reporting a new Saudi development.</w:t>
      </w:r>
    </w:p>
    <w:p>
      <w:pPr>
        <w:pStyle w:val="Heading2"/>
      </w:pPr>
      <w:r>
        <w:rPr>
          <w:rFonts w:ascii="Georgia" w:hAnsi="Georgia"/>
          <w:color w:val="7B2D8B"/>
          <w:sz w:val="28"/>
        </w:rPr>
        <w:t>Three Things Worth Watching Next Week</w:t>
      </w:r>
    </w:p>
    <w:p>
      <w:r>
        <w:rPr>
          <w:b/>
          <w:i w:val="0"/>
        </w:rPr>
        <w:t>1. First public CBUAE enforcement decisions</w:t>
      </w:r>
      <w:r>
        <w:rPr>
          <w:b w:val="0"/>
          <w:i w:val="0"/>
        </w:rPr>
        <w:t xml:space="preserve"> — The new naming power is untested. The first published decision will set the tone for how hard the regulator leans in.</w:t>
      </w:r>
    </w:p>
    <w:p>
      <w:r>
        <w:rPr>
          <w:b/>
          <w:i w:val="0"/>
        </w:rPr>
        <w:t>2. Supplier licensing opinions</w:t>
      </w:r>
      <w:r>
        <w:rPr>
          <w:b w:val="0"/>
          <w:i w:val="0"/>
        </w:rPr>
        <w:t xml:space="preserve"> — Watch for fintechs and API providers disclosing CBUAE opinions to customers, and for banks adding scope-confirmation to procurement.</w:t>
      </w:r>
    </w:p>
    <w:p>
      <w:r>
        <w:rPr>
          <w:b/>
          <w:i w:val="0"/>
        </w:rPr>
        <w:t>3. Vendor contract renegotiations</w:t>
      </w:r>
      <w:r>
        <w:rPr>
          <w:b w:val="0"/>
          <w:i w:val="0"/>
        </w:rPr>
        <w:t xml:space="preserve"> — Expect AI clauses (logging, residency, agent termination) to appear in Q4 renewals.</w:t>
      </w:r>
    </w:p>
    <w:p>
      <w:r>
        <w:rPr>
          <w:b w:val="0"/>
          <w:i/>
        </w:rPr>
        <w:t>Questions? hello@paringa.ai</w:t>
      </w:r>
    </w:p>
    <w:p>
      <w:r>
        <w:rPr>
          <w:b w:val="0"/>
          <w:i/>
        </w:rPr>
        <w:t>Paringa helps UAE and KSA organisations turn AI governance requirements into evidenced, audit-ready practice. We pair regulatory insight with hands-on delivery so your next supervisory conversation is a confident one. | 12 October 2026 | © Paringa Ltd</w:t>
      </w:r>
    </w:p>
    <w:sectPr w:rsidR="00FC693F" w:rsidRPr="0006063C" w:rsidSect="00034616">
      <w:footerReference w:type="default" r:id="rId12"/>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Paringa Ltd | hello@paringa.ai | paringa.ai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miandco.com/cmi-talks-uae-newsletter-september-2026/" TargetMode="External"/><Relationship Id="rId10" Type="http://schemas.openxmlformats.org/officeDocument/2006/relationships/hyperlink" Target="https://www.pinsentmasons.com/out-law/news/cbuae-guidance-technology-firms-regulation-shift" TargetMode="External"/><Relationship Id="rId11" Type="http://schemas.openxmlformats.org/officeDocument/2006/relationships/hyperlink" Target="https://www.kiteworks.com/regulatory-compliance/uae-financial-ai-compliance-2026-stack/"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